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E2328" w14:textId="77777777" w:rsidR="00EF22CD" w:rsidRPr="00EF22CD" w:rsidRDefault="00EF22CD" w:rsidP="00EF22CD">
      <w:pPr>
        <w:rPr>
          <w:rFonts w:ascii="Times New Roman" w:hAnsi="Times New Roman" w:cs="Times New Roman"/>
          <w:sz w:val="28"/>
          <w:szCs w:val="28"/>
        </w:rPr>
      </w:pPr>
      <w:r w:rsidRPr="00EF22CD">
        <w:rPr>
          <w:rFonts w:ascii="Times New Roman" w:hAnsi="Times New Roman" w:cs="Times New Roman"/>
          <w:sz w:val="28"/>
          <w:szCs w:val="28"/>
        </w:rPr>
        <w:t>%2 KLORHEKSİDİN İÇEREN CİLT ANTİSEPTİĞİ</w:t>
      </w:r>
    </w:p>
    <w:p w14:paraId="43514A43" w14:textId="0FC1F6EA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388CC41E" w14:textId="30C1E54B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ÖZELLİKLERİ</w:t>
      </w:r>
    </w:p>
    <w:p w14:paraId="1A823031" w14:textId="1F2A2CAD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1. Ürün %70 İzopropil Alkol ve %2 Klorheksidin Glukonat içermelidir.</w:t>
      </w:r>
    </w:p>
    <w:p w14:paraId="1724CD0D" w14:textId="3000AF22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2. Ürün geniş spektrumlu olup etkin cilt antisepsisi sağlamalıdır.</w:t>
      </w:r>
    </w:p>
    <w:p w14:paraId="79DB3047" w14:textId="77777777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3. Ürün cildi tahriş etmemeli, alerjik reaksiyonlara neden olmamalıdır.</w:t>
      </w:r>
    </w:p>
    <w:p w14:paraId="26DB8AD2" w14:textId="071928EB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1B6529FE" w14:textId="11C8A5CE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DEPOLAMA ŞARTLARI</w:t>
      </w:r>
    </w:p>
    <w:p w14:paraId="7AD2BA7E" w14:textId="10039DBB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Havalandırması mevcut olan serin bir yerde depolanmalıdır.</w:t>
      </w:r>
    </w:p>
    <w:p w14:paraId="01497CD2" w14:textId="77777777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511DDD22" w14:textId="7B128D6E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KULLANIM YERİ VE ÖZELLİĞİ</w:t>
      </w:r>
    </w:p>
    <w:p w14:paraId="2BC351AE" w14:textId="1585C721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 xml:space="preserve">Sağlık tesislerinin </w:t>
      </w:r>
      <w:r w:rsidRPr="00EF22CD">
        <w:rPr>
          <w:rFonts w:ascii="Times New Roman" w:hAnsi="Times New Roman" w:cs="Times New Roman"/>
          <w:sz w:val="24"/>
          <w:szCs w:val="24"/>
        </w:rPr>
        <w:t>bütün birimlerinde kan alma, enjeksiyon, kateter uygulamaları gibi işlemlerden önce cilt antisepsisi için kullanılır.</w:t>
      </w:r>
    </w:p>
    <w:p w14:paraId="68EB06EC" w14:textId="77777777" w:rsidR="00EF22CD" w:rsidRPr="00EF22CD" w:rsidRDefault="00EF22CD" w:rsidP="00EF22C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B215212" w14:textId="149D5A92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ÜRETİM TARİHİ VE MİADI</w:t>
      </w:r>
    </w:p>
    <w:p w14:paraId="0D289625" w14:textId="7CF55625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Malzemenin son kullanma tarihi teslim tarihinden itibaren en az 2 (iki) yıl olmalıdır. Bu süre içinde kullanılmayan ürünler son kullanma tarihine 3 ay kala, yüklenici firmadan yeni tarihli ürün ile değiştirilmelidir.</w:t>
      </w:r>
    </w:p>
    <w:p w14:paraId="4C1C83B3" w14:textId="77777777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5E43D6A6" w14:textId="75159594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AMBALAJ ŞEKLİ VE MİKTARI</w:t>
      </w:r>
    </w:p>
    <w:p w14:paraId="72CACB57" w14:textId="581841C8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1. Ürün 110 ml, ışığı geçirmeyen renkte, kilitli kapaklı ambalajlarda ve kullanıma hazır olarak teslim edilmelidir. Her bir ambalaj üzerinde ürüne spesifik başlık verilmelidir.</w:t>
      </w:r>
    </w:p>
    <w:p w14:paraId="68E7B972" w14:textId="36F96F88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2. Ambalaj üzerinde son kullanma tarihi, lot numarası, kullanma talimatı, teknik özellikleri Türkçe olarak belirtilmiş olmalıdır.</w:t>
      </w:r>
      <w:r w:rsidRPr="00EF22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577A9D" w14:textId="63AACE6D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6DF10BE6" w14:textId="1A387B11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TIBBİ ÖZELLİKLERİ</w:t>
      </w:r>
    </w:p>
    <w:p w14:paraId="6B3F7A1C" w14:textId="2ABE086F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1. Sözleşmenin imzalanması müteakip idarenin yazılı talimatı üzerine belirli aralıklarla teslim edilecektir. Yüklenici firma sözleşme tarihinden itibaren en geç 15 takvim günü içinde teslim etmek zorundadır.</w:t>
      </w:r>
    </w:p>
    <w:p w14:paraId="5F5F5EE6" w14:textId="03D5F9AC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2. Malzemeler yüklenici tarafından Sarf Malzeme Ambarına veya birim deposuna getirilerek ve gösterilen yere elemanlar vasıtasıyla istif edilmesi kaydıyla teslim etmek zorundadır.</w:t>
      </w:r>
    </w:p>
    <w:p w14:paraId="6E0606EB" w14:textId="77777777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</w:p>
    <w:p w14:paraId="3C7CD63A" w14:textId="68C875E5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ZORUNLU ÖZELLİKLER</w:t>
      </w:r>
    </w:p>
    <w:p w14:paraId="1CCE3048" w14:textId="6D5FB1F3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lastRenderedPageBreak/>
        <w:t>1. İstenen tüm belgeler ihale sırasında, ihale dosyasında bulundurulmalıdır.</w:t>
      </w:r>
    </w:p>
    <w:p w14:paraId="70EB7541" w14:textId="0B3A965D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2. Ürünün T.C. Sağlık Bakanlığına bağlı hastaneler veya üniversite hastanelerinden alınan Mikrobiyolojik Aktivite Belgesi olmalıdır.</w:t>
      </w:r>
    </w:p>
    <w:p w14:paraId="579FB1DA" w14:textId="61A73497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3. İstekliler teklif ettikleri ürünün orijinal kataloğunu ihale dosyasına koymalıdır.</w:t>
      </w:r>
    </w:p>
    <w:p w14:paraId="3B0EF35A" w14:textId="669977A5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4. Ürünün Sağlık Bakanlığı Türkiye Halk Sağlığı Kurumu tarafından verilen Biyosidal Ürün Ruhsatı olmalıdır.</w:t>
      </w:r>
    </w:p>
    <w:p w14:paraId="5557214F" w14:textId="288FD946" w:rsidR="00EF22CD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5. İstekliler ihale sırasında değerlendirilmek üzere en az 1 adet orijinal numuneyi ihale evraklarıyla birlikte İhale Komisyonuna sunmalıdır.</w:t>
      </w:r>
    </w:p>
    <w:p w14:paraId="279638AA" w14:textId="78446AAA" w:rsidR="006B6CB2" w:rsidRPr="00EF22CD" w:rsidRDefault="00EF22CD" w:rsidP="00EF22CD">
      <w:pPr>
        <w:rPr>
          <w:rFonts w:ascii="Times New Roman" w:hAnsi="Times New Roman" w:cs="Times New Roman"/>
          <w:sz w:val="24"/>
          <w:szCs w:val="24"/>
        </w:rPr>
      </w:pPr>
      <w:r w:rsidRPr="00EF22CD">
        <w:rPr>
          <w:rFonts w:ascii="Times New Roman" w:hAnsi="Times New Roman" w:cs="Times New Roman"/>
          <w:sz w:val="24"/>
          <w:szCs w:val="24"/>
        </w:rPr>
        <w:t>6. Yüklenici firma; ambalajı açıldığında, kullanıma uygun olmayan, hatalı, bozuk olduğu tespit edilen ürünü ye</w:t>
      </w:r>
      <w:r w:rsidRPr="00EF22CD">
        <w:rPr>
          <w:rFonts w:ascii="Times New Roman" w:hAnsi="Times New Roman" w:cs="Times New Roman"/>
          <w:sz w:val="24"/>
          <w:szCs w:val="24"/>
        </w:rPr>
        <w:t>n</w:t>
      </w:r>
      <w:r w:rsidRPr="00EF22CD">
        <w:rPr>
          <w:rFonts w:ascii="Times New Roman" w:hAnsi="Times New Roman" w:cs="Times New Roman"/>
          <w:sz w:val="24"/>
          <w:szCs w:val="24"/>
        </w:rPr>
        <w:t>ileri ile ücretsiz olarak değiştirmelidir.</w:t>
      </w:r>
    </w:p>
    <w:sectPr w:rsidR="006B6CB2" w:rsidRPr="00EF2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42675"/>
    <w:multiLevelType w:val="hybridMultilevel"/>
    <w:tmpl w:val="60C86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B83B7B"/>
    <w:multiLevelType w:val="hybridMultilevel"/>
    <w:tmpl w:val="9FD08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706712">
    <w:abstractNumId w:val="0"/>
  </w:num>
  <w:num w:numId="2" w16cid:durableId="1767728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2D"/>
    <w:rsid w:val="0008692D"/>
    <w:rsid w:val="00385946"/>
    <w:rsid w:val="005A02C5"/>
    <w:rsid w:val="006B6CB2"/>
    <w:rsid w:val="006C7D13"/>
    <w:rsid w:val="00EF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B14"/>
  <w15:chartTrackingRefBased/>
  <w15:docId w15:val="{D3D49126-124F-4962-9354-040F1581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869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869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869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86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869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86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86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86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86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869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869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869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8692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8692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8692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8692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8692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8692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86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86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86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86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86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8692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8692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8692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869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8692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869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2025-08-12T11:56:00Z</dcterms:created>
  <dcterms:modified xsi:type="dcterms:W3CDTF">2025-08-12T12:00:00Z</dcterms:modified>
</cp:coreProperties>
</file>